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643" w:rsidRDefault="00A50643" w:rsidP="00A50643">
      <w:pPr>
        <w:tabs>
          <w:tab w:val="left" w:pos="709"/>
        </w:tabs>
        <w:rPr>
          <w:rFonts w:ascii="Arial" w:hAnsi="Arial" w:cs="Arial"/>
          <w:b/>
          <w:bCs/>
          <w:sz w:val="22"/>
          <w:lang w:bidi="ar-LY"/>
        </w:rPr>
      </w:pPr>
    </w:p>
    <w:p w:rsidR="00A50643" w:rsidRDefault="00A50643" w:rsidP="00A50643">
      <w:pPr>
        <w:tabs>
          <w:tab w:val="left" w:pos="709"/>
        </w:tabs>
        <w:jc w:val="center"/>
        <w:rPr>
          <w:rFonts w:ascii="Arial" w:hAnsi="Arial" w:cs="Arial"/>
          <w:b/>
          <w:bCs/>
          <w:sz w:val="22"/>
        </w:rPr>
      </w:pPr>
      <w:r w:rsidRPr="00511A78">
        <w:rPr>
          <w:rFonts w:ascii="Arial" w:hAnsi="Arial" w:cs="Arial"/>
          <w:b/>
          <w:bCs/>
          <w:sz w:val="22"/>
        </w:rPr>
        <w:t>EXHIBIT</w:t>
      </w:r>
      <w:r>
        <w:rPr>
          <w:rFonts w:ascii="Arial" w:hAnsi="Arial" w:cs="Arial"/>
          <w:b/>
          <w:bCs/>
          <w:sz w:val="22"/>
        </w:rPr>
        <w:t xml:space="preserve"> E</w:t>
      </w:r>
    </w:p>
    <w:p w:rsidR="00A50643" w:rsidRDefault="00A50643" w:rsidP="00A50643">
      <w:pPr>
        <w:tabs>
          <w:tab w:val="left" w:pos="709"/>
        </w:tabs>
        <w:jc w:val="center"/>
        <w:rPr>
          <w:rFonts w:ascii="Arial" w:hAnsi="Arial" w:cs="Arial" w:hint="cs"/>
          <w:b/>
          <w:bCs/>
          <w:sz w:val="22"/>
          <w:rtl/>
          <w:lang w:bidi="ar-LY"/>
        </w:rPr>
      </w:pPr>
      <w:r>
        <w:rPr>
          <w:rFonts w:ascii="Arial" w:hAnsi="Arial" w:cs="Arial" w:hint="cs"/>
          <w:b/>
          <w:bCs/>
          <w:sz w:val="22"/>
          <w:rtl/>
          <w:lang w:bidi="ar-LY"/>
        </w:rPr>
        <w:t xml:space="preserve">متطلبات التأمين </w:t>
      </w:r>
    </w:p>
    <w:p w:rsidR="00A50643" w:rsidRPr="00A50643" w:rsidRDefault="00A50643" w:rsidP="00A50643">
      <w:pPr>
        <w:tabs>
          <w:tab w:val="left" w:pos="709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val="en-GB"/>
        </w:rPr>
      </w:pPr>
      <w:r w:rsidRPr="00A50643">
        <w:rPr>
          <w:rFonts w:ascii="Arial" w:hAnsi="Arial" w:cs="Arial"/>
          <w:b/>
          <w:bCs/>
          <w:color w:val="111111"/>
        </w:rPr>
        <w:t xml:space="preserve">Insurance Requirement </w:t>
      </w:r>
    </w:p>
    <w:p w:rsidR="00A50643" w:rsidRDefault="00A50643" w:rsidP="00A50643">
      <w:pPr>
        <w:tabs>
          <w:tab w:val="left" w:pos="709"/>
        </w:tabs>
        <w:jc w:val="center"/>
        <w:rPr>
          <w:rFonts w:ascii="Arial" w:eastAsia="Times New Roman" w:hAnsi="Arial" w:cs="Arial"/>
          <w:b/>
          <w:bCs/>
          <w:sz w:val="22"/>
          <w:lang w:val="en-GB"/>
        </w:rPr>
      </w:pPr>
      <w:r w:rsidRPr="00F81D6B">
        <w:rPr>
          <w:rFonts w:ascii="Arial" w:eastAsia="Times New Roman" w:hAnsi="Arial" w:cs="Arial"/>
          <w:b/>
          <w:bCs/>
          <w:sz w:val="22"/>
          <w:lang w:val="en-GB"/>
        </w:rPr>
        <w:t xml:space="preserve"> </w:t>
      </w:r>
    </w:p>
    <w:p w:rsidR="00A50643" w:rsidRPr="00766C28" w:rsidRDefault="00A50643" w:rsidP="00A50643">
      <w:pPr>
        <w:jc w:val="center"/>
        <w:rPr>
          <w:rFonts w:ascii="Arial" w:hAnsi="Arial" w:cs="Arial"/>
          <w:b/>
          <w:bCs/>
          <w:snapToGrid w:val="0"/>
          <w:sz w:val="14"/>
          <w:szCs w:val="14"/>
        </w:rPr>
      </w:pPr>
      <w:r w:rsidRPr="00766C28">
        <w:rPr>
          <w:rFonts w:ascii="Arial" w:hAnsi="Arial" w:cs="Arial"/>
          <w:b/>
          <w:bCs/>
          <w:snapToGrid w:val="0"/>
          <w:sz w:val="20"/>
          <w:szCs w:val="20"/>
        </w:rPr>
        <w:t>CONTRACTOR'S INSURANCE</w:t>
      </w:r>
    </w:p>
    <w:p w:rsidR="00A50643" w:rsidRPr="00766C28" w:rsidRDefault="00A50643" w:rsidP="00A50643">
      <w:pPr>
        <w:jc w:val="center"/>
        <w:rPr>
          <w:rFonts w:ascii="Arial" w:hAnsi="Arial" w:cs="Arial"/>
          <w:b/>
          <w:bCs/>
          <w:snapToGrid w:val="0"/>
          <w:sz w:val="22"/>
          <w:lang w:eastAsia="de-DE" w:bidi="ar-LY"/>
        </w:rPr>
      </w:pPr>
      <w:r w:rsidRPr="00766C28">
        <w:rPr>
          <w:rFonts w:ascii="Arial" w:hAnsi="Arial" w:cs="Arial" w:hint="cs"/>
          <w:b/>
          <w:bCs/>
          <w:snapToGrid w:val="0"/>
          <w:sz w:val="22"/>
          <w:rtl/>
          <w:lang w:eastAsia="de-DE" w:bidi="ar-LY"/>
        </w:rPr>
        <w:t>تأمينات المقاول</w:t>
      </w:r>
      <w:bookmarkStart w:id="0" w:name="_GoBack"/>
      <w:bookmarkEnd w:id="0"/>
    </w:p>
    <w:p w:rsidR="00A50643" w:rsidRDefault="00A50643" w:rsidP="00A50643">
      <w:pPr>
        <w:jc w:val="both"/>
        <w:rPr>
          <w:rFonts w:ascii="Arial" w:hAnsi="Arial" w:cs="Arial"/>
          <w:snapToGrid w:val="0"/>
          <w:sz w:val="24"/>
          <w:szCs w:val="24"/>
          <w:rtl/>
          <w:lang w:eastAsia="de-DE"/>
        </w:rPr>
      </w:pPr>
      <w:r>
        <w:rPr>
          <w:rFonts w:ascii="Arial" w:hAnsi="Arial" w:cs="Arial"/>
          <w:snapToGrid w:val="0"/>
          <w:sz w:val="24"/>
          <w:szCs w:val="24"/>
          <w:lang w:eastAsia="de-DE"/>
        </w:rPr>
        <w:t>Contractor shall maintain the following insurance under this Contract:</w:t>
      </w:r>
    </w:p>
    <w:p w:rsidR="00A50643" w:rsidRDefault="00A50643" w:rsidP="00A50643">
      <w:pPr>
        <w:jc w:val="right"/>
        <w:rPr>
          <w:rFonts w:ascii="Arial" w:hAnsi="Arial" w:cs="Arial"/>
          <w:snapToGrid w:val="0"/>
          <w:sz w:val="24"/>
          <w:szCs w:val="24"/>
          <w:rtl/>
          <w:lang w:eastAsia="de-DE"/>
        </w:rPr>
      </w:pPr>
      <w:r>
        <w:rPr>
          <w:rFonts w:ascii="Roboto" w:hAnsi="Roboto" w:hint="cs"/>
          <w:color w:val="000000"/>
          <w:sz w:val="24"/>
          <w:szCs w:val="24"/>
          <w:shd w:val="clear" w:color="auto" w:fill="F5F5F5"/>
          <w:rtl/>
        </w:rPr>
        <w:t xml:space="preserve">بموجب هذا العقد يجب على المقاول </w:t>
      </w:r>
      <w:r>
        <w:rPr>
          <w:rFonts w:ascii="Roboto" w:hAnsi="Roboto" w:hint="cs"/>
          <w:color w:val="000000"/>
          <w:sz w:val="24"/>
          <w:szCs w:val="24"/>
          <w:shd w:val="clear" w:color="auto" w:fill="F5F5F5"/>
          <w:rtl/>
          <w:lang w:bidi="ar-LY"/>
        </w:rPr>
        <w:t>توفير</w:t>
      </w:r>
      <w:r>
        <w:rPr>
          <w:rFonts w:ascii="Roboto" w:hAnsi="Roboto" w:hint="cs"/>
          <w:color w:val="000000"/>
          <w:sz w:val="24"/>
          <w:szCs w:val="24"/>
          <w:shd w:val="clear" w:color="auto" w:fill="F5F5F5"/>
          <w:rtl/>
        </w:rPr>
        <w:t xml:space="preserve"> التأمين التالي </w:t>
      </w:r>
    </w:p>
    <w:p w:rsidR="00A50643" w:rsidRDefault="00A50643" w:rsidP="00A50643">
      <w:pPr>
        <w:pStyle w:val="ListParagraph"/>
        <w:ind w:left="1069"/>
        <w:jc w:val="both"/>
        <w:rPr>
          <w:rFonts w:ascii="Arial" w:hAnsi="Arial" w:cs="Arial"/>
          <w:snapToGrid w:val="0"/>
          <w:sz w:val="24"/>
          <w:szCs w:val="24"/>
        </w:rPr>
      </w:pPr>
    </w:p>
    <w:p w:rsidR="00A50643" w:rsidRDefault="00A50643" w:rsidP="00A50643">
      <w:pPr>
        <w:pStyle w:val="ListParagraph"/>
        <w:numPr>
          <w:ilvl w:val="0"/>
          <w:numId w:val="1"/>
        </w:numPr>
        <w:ind w:left="426" w:hanging="426"/>
        <w:contextualSpacing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Employer's </w:t>
      </w:r>
      <w:proofErr w:type="gramStart"/>
      <w:r>
        <w:rPr>
          <w:rFonts w:ascii="Arial" w:hAnsi="Arial" w:cs="Arial"/>
          <w:snapToGrid w:val="0"/>
          <w:sz w:val="24"/>
          <w:szCs w:val="24"/>
        </w:rPr>
        <w:t>Liability  Insurance</w:t>
      </w:r>
      <w:proofErr w:type="gramEnd"/>
      <w:r>
        <w:rPr>
          <w:rFonts w:ascii="Arial" w:hAnsi="Arial" w:cs="Arial"/>
          <w:snapToGrid w:val="0"/>
          <w:sz w:val="24"/>
          <w:szCs w:val="24"/>
        </w:rPr>
        <w:t xml:space="preserve"> and / or similar insurance required under the laws of the country or countries which are applicable to any employee of Contractor in connection with the performance work specified under Contract.</w:t>
      </w:r>
    </w:p>
    <w:p w:rsidR="00A50643" w:rsidRDefault="00A50643" w:rsidP="00A50643">
      <w:pPr>
        <w:jc w:val="both"/>
        <w:rPr>
          <w:rFonts w:ascii="Arial" w:hAnsi="Arial" w:cs="Arial"/>
          <w:snapToGrid w:val="0"/>
          <w:sz w:val="24"/>
          <w:szCs w:val="24"/>
        </w:rPr>
      </w:pPr>
    </w:p>
    <w:p w:rsidR="00A50643" w:rsidRDefault="00A50643" w:rsidP="00A50643">
      <w:pPr>
        <w:contextualSpacing/>
        <w:jc w:val="right"/>
        <w:rPr>
          <w:rFonts w:ascii="Arial" w:hAnsi="Arial" w:cs="Arial"/>
          <w:color w:val="111111"/>
          <w:rtl/>
        </w:rPr>
      </w:pPr>
      <w:r>
        <w:rPr>
          <w:rFonts w:asciiTheme="minorBidi" w:hAnsiTheme="minorBidi" w:hint="cs"/>
          <w:color w:val="000000"/>
          <w:sz w:val="24"/>
          <w:szCs w:val="24"/>
          <w:shd w:val="clear" w:color="auto" w:fill="D2E3FC"/>
          <w:rtl/>
        </w:rPr>
        <w:t xml:space="preserve">(أ) </w:t>
      </w:r>
      <w:r>
        <w:rPr>
          <w:rFonts w:ascii="Arial" w:hAnsi="Arial" w:cs="Arial"/>
          <w:color w:val="111111"/>
          <w:rtl/>
        </w:rPr>
        <w:t>تأمين مسؤولية رب العمل و/أو تأمين تعويض العمال و/أو أي تأمين مشابه مطلوب بموجب قوانين البلد أو البلدان التي تنطبق على أي من موظفي المقاول فيما يتعلق بمستوى الأداء للعمل المحدد بموجب العقد.</w:t>
      </w:r>
    </w:p>
    <w:p w:rsidR="00A50643" w:rsidRDefault="00A50643" w:rsidP="00A50643">
      <w:pPr>
        <w:contextualSpacing/>
        <w:jc w:val="right"/>
        <w:rPr>
          <w:rFonts w:asciiTheme="minorBidi" w:hAnsiTheme="minorBidi"/>
          <w:snapToGrid w:val="0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111111"/>
        </w:rPr>
        <w:t>LYD 1,000,000 per occurrence</w:t>
      </w:r>
      <w:r>
        <w:rPr>
          <w:rFonts w:ascii="Arial" w:hAnsi="Arial" w:cs="Arial"/>
          <w:color w:val="111111"/>
        </w:rPr>
        <w:t xml:space="preserve">  </w:t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</w:r>
      <w:r>
        <w:rPr>
          <w:rFonts w:ascii="Arial" w:hAnsi="Arial" w:cs="Arial"/>
          <w:color w:val="111111"/>
        </w:rPr>
        <w:tab/>
      </w:r>
    </w:p>
    <w:p w:rsidR="00A50643" w:rsidRDefault="00A50643" w:rsidP="00A50643">
      <w:pPr>
        <w:pStyle w:val="ListParagraph"/>
        <w:ind w:left="426" w:hanging="426"/>
        <w:jc w:val="both"/>
        <w:rPr>
          <w:rFonts w:ascii="Arial" w:hAnsi="Arial" w:cs="Arial"/>
          <w:snapToGrid w:val="0"/>
          <w:sz w:val="24"/>
          <w:szCs w:val="24"/>
        </w:rPr>
      </w:pPr>
    </w:p>
    <w:p w:rsidR="00A50643" w:rsidRDefault="00A50643" w:rsidP="00A50643">
      <w:pPr>
        <w:pStyle w:val="NormalWeb"/>
        <w:numPr>
          <w:ilvl w:val="0"/>
          <w:numId w:val="1"/>
        </w:numPr>
        <w:spacing w:before="180" w:beforeAutospacing="0" w:after="0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Comprehensive General Liability Insurance (death &amp; bodily injury, and property damage) to the principal’s employees, and property, as well as any third party – </w:t>
      </w:r>
    </w:p>
    <w:p w:rsidR="00A50643" w:rsidRDefault="00A50643" w:rsidP="00A50643">
      <w:pPr>
        <w:bidi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color w:val="111111"/>
          <w:rtl/>
        </w:rPr>
        <w:t>تأمين المسؤولية العامة الشاملة (الوفاة والإصابات الجسدية والخسائر أو الأضرار التي تلحق بالممتلكات) المتعلقة بموظفي وممتلكات المالك وأي طرف ثالث</w:t>
      </w:r>
    </w:p>
    <w:p w:rsidR="00A50643" w:rsidRDefault="00A50643" w:rsidP="00A50643">
      <w:pPr>
        <w:pStyle w:val="ListParagraph"/>
        <w:tabs>
          <w:tab w:val="left" w:pos="7592"/>
        </w:tabs>
        <w:ind w:left="426" w:hanging="426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snapToGrid w:val="0"/>
          <w:sz w:val="24"/>
          <w:szCs w:val="24"/>
        </w:rPr>
        <w:tab/>
        <w:t xml:space="preserve">                                         </w:t>
      </w:r>
      <w:r>
        <w:rPr>
          <w:rFonts w:ascii="Arial" w:hAnsi="Arial" w:cs="Arial"/>
          <w:color w:val="111111"/>
        </w:rPr>
        <w:t>limit of LYD 2,500,000 per occurrence</w:t>
      </w:r>
    </w:p>
    <w:p w:rsidR="00A50643" w:rsidRDefault="00A50643" w:rsidP="00A50643">
      <w:pPr>
        <w:pStyle w:val="ListParagraph"/>
        <w:tabs>
          <w:tab w:val="left" w:pos="7592"/>
        </w:tabs>
        <w:ind w:left="426" w:hanging="426"/>
        <w:jc w:val="both"/>
        <w:rPr>
          <w:rFonts w:ascii="Arial" w:hAnsi="Arial" w:cs="Arial"/>
          <w:snapToGrid w:val="0"/>
          <w:sz w:val="24"/>
          <w:szCs w:val="24"/>
        </w:rPr>
      </w:pPr>
    </w:p>
    <w:p w:rsidR="00A50643" w:rsidRDefault="00A50643" w:rsidP="00A50643">
      <w:pPr>
        <w:pStyle w:val="ListParagraph"/>
        <w:numPr>
          <w:ilvl w:val="0"/>
          <w:numId w:val="1"/>
        </w:numPr>
        <w:ind w:left="426" w:hanging="426"/>
        <w:contextualSpacing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Professional Indemnity Insurance covering any Claim for damages arising out of the breach of professional duty stipulated in the Contract by negligent act, error or omission per occurrence </w:t>
      </w:r>
    </w:p>
    <w:p w:rsidR="00A50643" w:rsidRDefault="00A50643" w:rsidP="00A50643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:rsidR="00A50643" w:rsidRDefault="00A50643" w:rsidP="00A50643">
      <w:pPr>
        <w:spacing w:after="0"/>
        <w:ind w:left="709"/>
        <w:contextualSpacing/>
        <w:jc w:val="right"/>
        <w:rPr>
          <w:rFonts w:asciiTheme="minorBidi" w:hAnsiTheme="minorBidi"/>
          <w:color w:val="000000"/>
          <w:sz w:val="24"/>
          <w:szCs w:val="24"/>
          <w:shd w:val="clear" w:color="auto" w:fill="F5F5F5"/>
        </w:rPr>
      </w:pPr>
      <w:r>
        <w:rPr>
          <w:rStyle w:val="rynqvb"/>
          <w:rFonts w:asciiTheme="minorBidi" w:eastAsiaTheme="majorEastAsia" w:hAnsiTheme="minorBidi" w:hint="cs"/>
          <w:color w:val="000000"/>
          <w:sz w:val="24"/>
          <w:szCs w:val="24"/>
          <w:shd w:val="clear" w:color="auto" w:fill="F5F5F5"/>
          <w:rtl/>
        </w:rPr>
        <w:t xml:space="preserve">(ج) تأمين </w:t>
      </w:r>
      <w:r>
        <w:rPr>
          <w:rFonts w:ascii="Arial" w:hAnsi="Arial" w:cs="Arial"/>
          <w:color w:val="111111"/>
          <w:rtl/>
        </w:rPr>
        <w:t>المسؤولية المهنية</w:t>
      </w:r>
      <w:r>
        <w:rPr>
          <w:rStyle w:val="rynqvb"/>
          <w:rFonts w:asciiTheme="minorBidi" w:eastAsiaTheme="majorEastAsia" w:hAnsiTheme="minorBidi" w:hint="cs"/>
          <w:color w:val="000000"/>
          <w:sz w:val="24"/>
          <w:szCs w:val="24"/>
          <w:shd w:val="clear" w:color="auto" w:fill="F5F5F5"/>
          <w:rtl/>
        </w:rPr>
        <w:t xml:space="preserve"> الذي يغطي أي مطالبة بالتعويض عن الأضرار الناشئة عن الإخلال بالواجب المهني المنصوص عليه في العقد بفعل إهمال أو خطأ أو إغفال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5F5F5"/>
          <w:rtl/>
        </w:rPr>
        <w:t xml:space="preserve"> </w:t>
      </w:r>
    </w:p>
    <w:p w:rsidR="00A50643" w:rsidRDefault="00A50643" w:rsidP="00A50643">
      <w:pPr>
        <w:spacing w:after="0"/>
        <w:ind w:left="709"/>
        <w:contextualSpacing/>
        <w:jc w:val="right"/>
        <w:rPr>
          <w:rFonts w:asciiTheme="minorBidi" w:hAnsiTheme="minorBidi"/>
          <w:color w:val="000000"/>
          <w:sz w:val="24"/>
          <w:szCs w:val="24"/>
          <w:shd w:val="clear" w:color="auto" w:fill="F5F5F5"/>
        </w:rPr>
      </w:pPr>
    </w:p>
    <w:p w:rsidR="00A50643" w:rsidRDefault="00A50643" w:rsidP="00A50643">
      <w:pPr>
        <w:spacing w:after="0"/>
        <w:ind w:left="709"/>
        <w:contextualSpacing/>
        <w:jc w:val="center"/>
        <w:rPr>
          <w:rFonts w:asciiTheme="minorBidi" w:hAnsiTheme="minorBidi"/>
          <w:snapToGrid w:val="0"/>
          <w:sz w:val="24"/>
          <w:szCs w:val="24"/>
        </w:rPr>
      </w:pPr>
      <w:r>
        <w:rPr>
          <w:rFonts w:ascii="Arial" w:hAnsi="Arial" w:cs="Arial"/>
          <w:color w:val="111111"/>
        </w:rPr>
        <w:t>LYD 1,500,000 per occurrence</w:t>
      </w:r>
    </w:p>
    <w:p w:rsidR="00A50643" w:rsidRDefault="00A50643" w:rsidP="00A50643">
      <w:pPr>
        <w:rPr>
          <w:rFonts w:ascii="Arial" w:hAnsi="Arial" w:cs="Arial"/>
          <w:snapToGrid w:val="0"/>
          <w:sz w:val="24"/>
          <w:szCs w:val="24"/>
        </w:rPr>
      </w:pPr>
    </w:p>
    <w:p w:rsidR="00A50643" w:rsidRDefault="00A50643" w:rsidP="00A50643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111111"/>
        </w:rPr>
        <w:t xml:space="preserve">(d) </w:t>
      </w:r>
      <w:r>
        <w:rPr>
          <w:rFonts w:ascii="Arial" w:hAnsi="Arial" w:cs="Arial"/>
          <w:color w:val="111111"/>
        </w:rPr>
        <w:t>Product Liability Insurance</w:t>
      </w:r>
    </w:p>
    <w:p w:rsidR="00A50643" w:rsidRDefault="00A50643" w:rsidP="00A50643">
      <w:pPr>
        <w:tabs>
          <w:tab w:val="left" w:pos="709"/>
        </w:tabs>
        <w:jc w:val="right"/>
        <w:rPr>
          <w:rFonts w:ascii="Arial" w:hAnsi="Arial" w:cs="Arial"/>
          <w:color w:val="111111"/>
        </w:rPr>
      </w:pPr>
      <w:r>
        <w:rPr>
          <w:rFonts w:asciiTheme="minorBidi" w:hAnsiTheme="minorBidi" w:hint="cs"/>
          <w:color w:val="000000"/>
          <w:sz w:val="24"/>
          <w:szCs w:val="24"/>
          <w:shd w:val="clear" w:color="auto" w:fill="F5F5F5"/>
          <w:rtl/>
        </w:rPr>
        <w:t xml:space="preserve">(د) </w:t>
      </w:r>
      <w:r>
        <w:rPr>
          <w:rFonts w:ascii="Arial" w:hAnsi="Arial" w:cs="Arial"/>
          <w:color w:val="111111"/>
          <w:rtl/>
        </w:rPr>
        <w:t>مسؤولية المنتج</w:t>
      </w:r>
    </w:p>
    <w:p w:rsidR="00A50643" w:rsidRDefault="00A50643" w:rsidP="00A50643">
      <w:pPr>
        <w:tabs>
          <w:tab w:val="left" w:pos="709"/>
        </w:tabs>
        <w:jc w:val="center"/>
        <w:rPr>
          <w:rFonts w:ascii="Arial" w:hAnsi="Arial" w:cs="Arial"/>
          <w:b/>
          <w:bCs/>
          <w:sz w:val="24"/>
          <w:szCs w:val="24"/>
          <w:lang w:bidi="ar-LY"/>
        </w:rPr>
      </w:pPr>
      <w:r>
        <w:rPr>
          <w:rFonts w:ascii="Arial" w:hAnsi="Arial" w:cs="Arial"/>
          <w:color w:val="111111"/>
        </w:rPr>
        <w:t>limit of LYD 3,500,000 per occurrence</w:t>
      </w:r>
    </w:p>
    <w:p w:rsidR="00A50643" w:rsidRPr="0034002B" w:rsidRDefault="00A50643" w:rsidP="00A50643">
      <w:pPr>
        <w:tabs>
          <w:tab w:val="left" w:pos="709"/>
        </w:tabs>
        <w:jc w:val="center"/>
        <w:rPr>
          <w:rFonts w:ascii="Arial" w:hAnsi="Arial" w:cs="Arial"/>
          <w:b/>
          <w:bCs/>
          <w:sz w:val="28"/>
          <w:szCs w:val="28"/>
          <w:lang w:bidi="ar-LY"/>
        </w:rPr>
      </w:pPr>
      <w:r w:rsidRPr="00F81D6B">
        <w:rPr>
          <w:rFonts w:ascii="Arial" w:eastAsia="Times New Roman" w:hAnsi="Arial" w:cs="Arial"/>
          <w:b/>
          <w:bCs/>
          <w:sz w:val="22"/>
          <w:lang w:val="en-GB"/>
        </w:rPr>
        <w:t xml:space="preserve">         </w:t>
      </w:r>
    </w:p>
    <w:p w:rsidR="00420D1B" w:rsidRDefault="00420D1B"/>
    <w:sectPr w:rsidR="00420D1B" w:rsidSect="006A2D79">
      <w:headerReference w:type="default" r:id="rId7"/>
      <w:footerReference w:type="default" r:id="rId8"/>
      <w:pgSz w:w="11909" w:h="16834" w:code="9"/>
      <w:pgMar w:top="1440" w:right="1440" w:bottom="1440" w:left="1440" w:header="576" w:footer="576" w:gutter="0"/>
      <w:cols w:space="720"/>
      <w:noEndnote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643" w:rsidRDefault="00A50643" w:rsidP="00A50643">
      <w:pPr>
        <w:spacing w:after="0" w:line="240" w:lineRule="auto"/>
      </w:pPr>
      <w:r>
        <w:separator/>
      </w:r>
    </w:p>
  </w:endnote>
  <w:endnote w:type="continuationSeparator" w:id="0">
    <w:p w:rsidR="00A50643" w:rsidRDefault="00A50643" w:rsidP="00A5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8150893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16"/>
            <w:szCs w:val="16"/>
          </w:rPr>
          <w:id w:val="1503696953"/>
          <w:docPartObj>
            <w:docPartGallery w:val="Page Numbers (Bottom of Page)"/>
            <w:docPartUnique/>
          </w:docPartObj>
        </w:sdtPr>
        <w:sdtEndPr>
          <w:rPr>
            <w:noProof/>
            <w:sz w:val="21"/>
            <w:szCs w:val="22"/>
          </w:rPr>
        </w:sdtEndPr>
        <w:sdtContent>
          <w:p w:rsidR="00C8058F" w:rsidRPr="007B3D2E" w:rsidRDefault="00766C28" w:rsidP="00C8058F">
            <w:pPr>
              <w:pStyle w:val="Footer"/>
              <w:rPr>
                <w:sz w:val="16"/>
                <w:szCs w:val="16"/>
              </w:rPr>
            </w:pPr>
            <w:r w:rsidRPr="007B3D2E">
              <w:rPr>
                <w:sz w:val="16"/>
                <w:szCs w:val="16"/>
              </w:rPr>
              <w:t xml:space="preserve"> </w:t>
            </w:r>
            <w:r w:rsidRPr="00E6741D">
              <w:rPr>
                <w:sz w:val="16"/>
                <w:szCs w:val="16"/>
              </w:rPr>
              <w:t>SOO-LGL-102-NOV 2023</w:t>
            </w:r>
          </w:p>
          <w:p w:rsidR="00C8058F" w:rsidRDefault="00766C28" w:rsidP="00C8058F">
            <w:pPr>
              <w:pStyle w:val="Footer"/>
              <w:jc w:val="center"/>
              <w:rPr>
                <w:noProof/>
              </w:rPr>
            </w:pPr>
          </w:p>
        </w:sdtContent>
      </w:sdt>
      <w:tbl>
        <w:tblPr>
          <w:tblW w:w="9777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1286"/>
          <w:gridCol w:w="643"/>
          <w:gridCol w:w="884"/>
          <w:gridCol w:w="721"/>
          <w:gridCol w:w="944"/>
          <w:gridCol w:w="769"/>
          <w:gridCol w:w="789"/>
          <w:gridCol w:w="562"/>
          <w:gridCol w:w="1142"/>
          <w:gridCol w:w="601"/>
          <w:gridCol w:w="932"/>
          <w:gridCol w:w="504"/>
        </w:tblGrid>
        <w:tr w:rsidR="00C8058F" w:rsidRPr="00F352CD" w:rsidTr="00377C36">
          <w:trPr>
            <w:trHeight w:hRule="exact" w:val="269"/>
          </w:trPr>
          <w:tc>
            <w:tcPr>
              <w:tcW w:w="1286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jc w:val="center"/>
                <w:rPr>
                  <w:rFonts w:cs="Arial"/>
                  <w:sz w:val="16"/>
                  <w:szCs w:val="16"/>
                </w:rPr>
              </w:pPr>
              <w:r w:rsidRPr="00B72C36">
                <w:rPr>
                  <w:rFonts w:cs="Arial"/>
                  <w:sz w:val="16"/>
                  <w:szCs w:val="16"/>
                </w:rPr>
                <w:t>User</w:t>
              </w:r>
              <w:r w:rsidRPr="00F352CD">
                <w:rPr>
                  <w:rFonts w:cs="Arial"/>
                  <w:sz w:val="16"/>
                  <w:szCs w:val="16"/>
                </w:rPr>
                <w:tab/>
              </w:r>
              <w:r w:rsidRPr="00F352CD">
                <w:rPr>
                  <w:rFonts w:cs="Arial"/>
                  <w:sz w:val="16"/>
                  <w:szCs w:val="16"/>
                </w:rPr>
                <w:tab/>
              </w:r>
              <w:r w:rsidRPr="00F352CD">
                <w:rPr>
                  <w:rFonts w:cs="Arial"/>
                  <w:sz w:val="16"/>
                  <w:szCs w:val="16"/>
                </w:rPr>
                <w:tab/>
              </w:r>
              <w:proofErr w:type="spellStart"/>
              <w:r w:rsidRPr="00F352CD">
                <w:rPr>
                  <w:rFonts w:cs="Arial"/>
                  <w:sz w:val="16"/>
                  <w:szCs w:val="16"/>
                </w:rPr>
                <w:t>User</w:t>
              </w:r>
              <w:proofErr w:type="spellEnd"/>
            </w:p>
          </w:tc>
          <w:tc>
            <w:tcPr>
              <w:tcW w:w="643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rPr>
                  <w:rFonts w:cs="Arial"/>
                  <w:sz w:val="16"/>
                  <w:szCs w:val="16"/>
                </w:rPr>
              </w:pPr>
            </w:p>
          </w:tc>
          <w:tc>
            <w:tcPr>
              <w:tcW w:w="884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  <w:r w:rsidRPr="00F352CD">
                <w:rPr>
                  <w:rFonts w:cs="Arial"/>
                  <w:sz w:val="16"/>
                  <w:szCs w:val="16"/>
                </w:rPr>
                <w:t>Finance</w:t>
              </w:r>
            </w:p>
          </w:tc>
          <w:tc>
            <w:tcPr>
              <w:tcW w:w="721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rPr>
                  <w:rFonts w:cs="Arial"/>
                  <w:sz w:val="16"/>
                  <w:szCs w:val="16"/>
                </w:rPr>
              </w:pPr>
            </w:p>
          </w:tc>
          <w:tc>
            <w:tcPr>
              <w:tcW w:w="944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rPr>
                  <w:rFonts w:cs="Arial"/>
                  <w:sz w:val="16"/>
                  <w:szCs w:val="16"/>
                </w:rPr>
              </w:pPr>
              <w:r w:rsidRPr="00F352CD">
                <w:rPr>
                  <w:rFonts w:cs="Arial"/>
                  <w:sz w:val="16"/>
                  <w:szCs w:val="16"/>
                </w:rPr>
                <w:t>Legal</w:t>
              </w:r>
            </w:p>
          </w:tc>
          <w:tc>
            <w:tcPr>
              <w:tcW w:w="769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rPr>
                  <w:rFonts w:cs="Arial"/>
                  <w:sz w:val="16"/>
                  <w:szCs w:val="16"/>
                </w:rPr>
              </w:pPr>
            </w:p>
          </w:tc>
          <w:tc>
            <w:tcPr>
              <w:tcW w:w="789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  <w:r w:rsidRPr="00F352CD">
                <w:rPr>
                  <w:rFonts w:cs="Arial"/>
                  <w:sz w:val="16"/>
                  <w:szCs w:val="16"/>
                </w:rPr>
                <w:t>Contracts</w:t>
              </w:r>
            </w:p>
          </w:tc>
          <w:tc>
            <w:tcPr>
              <w:tcW w:w="562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</w:p>
          </w:tc>
          <w:tc>
            <w:tcPr>
              <w:tcW w:w="1142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  <w:r w:rsidRPr="00F352CD">
                <w:rPr>
                  <w:rFonts w:cs="Arial"/>
                  <w:sz w:val="16"/>
                  <w:szCs w:val="16"/>
                </w:rPr>
                <w:t>T Committee</w:t>
              </w:r>
            </w:p>
          </w:tc>
          <w:tc>
            <w:tcPr>
              <w:tcW w:w="601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</w:p>
          </w:tc>
          <w:tc>
            <w:tcPr>
              <w:tcW w:w="932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contractor</w:t>
              </w:r>
            </w:p>
          </w:tc>
          <w:tc>
            <w:tcPr>
              <w:tcW w:w="504" w:type="dxa"/>
              <w:vAlign w:val="center"/>
            </w:tcPr>
            <w:p w:rsidR="00C8058F" w:rsidRPr="00F352CD" w:rsidRDefault="00766C28" w:rsidP="00C8058F">
              <w:pPr>
                <w:pStyle w:val="Footer"/>
                <w:tabs>
                  <w:tab w:val="right" w:pos="9090"/>
                </w:tabs>
                <w:ind w:right="-189"/>
                <w:rPr>
                  <w:rFonts w:cs="Arial"/>
                  <w:sz w:val="16"/>
                  <w:szCs w:val="16"/>
                </w:rPr>
              </w:pPr>
            </w:p>
          </w:tc>
        </w:tr>
      </w:tbl>
      <w:sdt>
        <w:sdtPr>
          <w:rPr>
            <w:color w:val="7F7F7F" w:themeColor="background1" w:themeShade="7F"/>
            <w:spacing w:val="60"/>
            <w:sz w:val="16"/>
            <w:szCs w:val="16"/>
          </w:rPr>
          <w:id w:val="-616371556"/>
          <w:docPartObj>
            <w:docPartGallery w:val="Page Numbers (Top of Page)"/>
            <w:docPartUnique/>
          </w:docPartObj>
        </w:sdtPr>
        <w:sdtEndPr>
          <w:rPr>
            <w:b/>
            <w:bCs/>
            <w:noProof/>
            <w:color w:val="auto"/>
            <w:spacing w:val="0"/>
          </w:rPr>
        </w:sdtEndPr>
        <w:sdtContent>
          <w:p w:rsidR="00C8058F" w:rsidRPr="00FB4820" w:rsidRDefault="00766C28" w:rsidP="00C8058F">
            <w:pPr>
              <w:pStyle w:val="Header"/>
              <w:pBdr>
                <w:bottom w:val="single" w:sz="4" w:space="1" w:color="D9D9D9" w:themeColor="background1" w:themeShade="D9"/>
              </w:pBdr>
              <w:tabs>
                <w:tab w:val="left" w:pos="5309"/>
                <w:tab w:val="right" w:pos="9029"/>
              </w:tabs>
              <w:rPr>
                <w:b/>
                <w:bCs/>
                <w:sz w:val="16"/>
                <w:szCs w:val="16"/>
              </w:rPr>
            </w:pPr>
            <w:r w:rsidRPr="00FB4820">
              <w:rPr>
                <w:color w:val="7F7F7F" w:themeColor="background1" w:themeShade="7F"/>
                <w:spacing w:val="60"/>
                <w:sz w:val="16"/>
                <w:szCs w:val="16"/>
              </w:rPr>
              <w:tab/>
            </w:r>
            <w:r w:rsidRPr="00FB4820">
              <w:rPr>
                <w:color w:val="7F7F7F" w:themeColor="background1" w:themeShade="7F"/>
                <w:spacing w:val="60"/>
                <w:sz w:val="16"/>
                <w:szCs w:val="16"/>
              </w:rPr>
              <w:tab/>
            </w:r>
            <w:r w:rsidRPr="00FB4820">
              <w:rPr>
                <w:color w:val="7F7F7F" w:themeColor="background1" w:themeShade="7F"/>
                <w:spacing w:val="60"/>
                <w:sz w:val="16"/>
                <w:szCs w:val="16"/>
              </w:rPr>
              <w:tab/>
              <w:t>Page</w:t>
            </w:r>
            <w:r w:rsidRPr="00FB4820">
              <w:rPr>
                <w:sz w:val="16"/>
                <w:szCs w:val="16"/>
              </w:rPr>
              <w:t xml:space="preserve"> | </w:t>
            </w:r>
            <w:r w:rsidRPr="00FB4820">
              <w:rPr>
                <w:sz w:val="16"/>
                <w:szCs w:val="16"/>
              </w:rPr>
              <w:fldChar w:fldCharType="begin"/>
            </w:r>
            <w:r w:rsidRPr="00FB4820">
              <w:rPr>
                <w:sz w:val="16"/>
                <w:szCs w:val="16"/>
              </w:rPr>
              <w:instrText xml:space="preserve"> PAGE   \* MERGEFORMAT </w:instrText>
            </w:r>
            <w:r w:rsidRPr="00FB482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10</w:t>
            </w:r>
            <w:r w:rsidRPr="00FB4820">
              <w:rPr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:rsidR="00426436" w:rsidRDefault="00766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643" w:rsidRDefault="00A50643" w:rsidP="00A50643">
      <w:pPr>
        <w:spacing w:after="0" w:line="240" w:lineRule="auto"/>
      </w:pPr>
      <w:r>
        <w:separator/>
      </w:r>
    </w:p>
  </w:footnote>
  <w:footnote w:type="continuationSeparator" w:id="0">
    <w:p w:rsidR="00A50643" w:rsidRDefault="00A50643" w:rsidP="00A50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436" w:rsidRPr="005B23DD" w:rsidRDefault="00766C28" w:rsidP="00327CF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1B35"/>
    <w:multiLevelType w:val="hybridMultilevel"/>
    <w:tmpl w:val="698EF40A"/>
    <w:lvl w:ilvl="0" w:tplc="E64A2082">
      <w:start w:val="1"/>
      <w:numFmt w:val="lowerLetter"/>
      <w:lvlText w:val="(%1)"/>
      <w:lvlJc w:val="left"/>
      <w:pPr>
        <w:ind w:left="1069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43"/>
    <w:rsid w:val="00420D1B"/>
    <w:rsid w:val="00766C28"/>
    <w:rsid w:val="00A5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9268"/>
  <w15:chartTrackingRefBased/>
  <w15:docId w15:val="{A65A9AEA-4897-4745-9F7B-3BF5D0E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0643"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643"/>
    <w:pPr>
      <w:spacing w:after="0" w:line="240" w:lineRule="auto"/>
      <w:ind w:left="720"/>
    </w:pPr>
    <w:rPr>
      <w:rFonts w:ascii="Courier New" w:eastAsia="Times New Roman" w:hAnsi="Courier New" w:cs="Times New Roman"/>
      <w:sz w:val="20"/>
      <w:szCs w:val="20"/>
      <w:lang w:val="en-GB" w:eastAsia="de-DE"/>
    </w:rPr>
  </w:style>
  <w:style w:type="paragraph" w:styleId="Header">
    <w:name w:val="header"/>
    <w:aliases w:val="ITTHEADER,h,HeaderPort,header"/>
    <w:basedOn w:val="Normal"/>
    <w:link w:val="HeaderChar"/>
    <w:uiPriority w:val="99"/>
    <w:unhideWhenUsed/>
    <w:rsid w:val="00A50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aliases w:val="ITTHEADER Char,h Char,HeaderPort Char,header Char"/>
    <w:basedOn w:val="DefaultParagraphFont"/>
    <w:link w:val="Header"/>
    <w:uiPriority w:val="99"/>
    <w:rsid w:val="00A50643"/>
    <w:rPr>
      <w:sz w:val="21"/>
    </w:rPr>
  </w:style>
  <w:style w:type="paragraph" w:styleId="Footer">
    <w:name w:val="footer"/>
    <w:aliases w:val="ITTFOOTER"/>
    <w:basedOn w:val="Normal"/>
    <w:link w:val="FooterChar"/>
    <w:uiPriority w:val="99"/>
    <w:unhideWhenUsed/>
    <w:rsid w:val="00A50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aliases w:val="ITTFOOTER Char"/>
    <w:basedOn w:val="DefaultParagraphFont"/>
    <w:link w:val="Footer"/>
    <w:uiPriority w:val="99"/>
    <w:rsid w:val="00A50643"/>
    <w:rPr>
      <w:sz w:val="21"/>
    </w:rPr>
  </w:style>
  <w:style w:type="character" w:customStyle="1" w:styleId="rynqvb">
    <w:name w:val="rynqvb"/>
    <w:basedOn w:val="DefaultParagraphFont"/>
    <w:rsid w:val="00A50643"/>
  </w:style>
  <w:style w:type="paragraph" w:styleId="NormalWeb">
    <w:name w:val="Normal (Web)"/>
    <w:basedOn w:val="Normal"/>
    <w:uiPriority w:val="99"/>
    <w:semiHidden/>
    <w:unhideWhenUsed/>
    <w:rsid w:val="00A50643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Sarir Oil Operations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Ben Aboubaker</dc:creator>
  <cp:keywords/>
  <dc:description/>
  <cp:lastModifiedBy>Zainab Ben Aboubaker</cp:lastModifiedBy>
  <cp:revision>1</cp:revision>
  <dcterms:created xsi:type="dcterms:W3CDTF">2024-11-07T11:54:00Z</dcterms:created>
  <dcterms:modified xsi:type="dcterms:W3CDTF">2024-11-07T12:05:00Z</dcterms:modified>
</cp:coreProperties>
</file>