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6F0CAB31"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E84E3E">
      <w:pPr>
        <w:rPr>
          <w:rFonts w:asciiTheme="majorHAnsi" w:hAnsiTheme="majorHAnsi" w:cstheme="majorHAnsi"/>
          <w:b/>
          <w:bCs/>
          <w:sz w:val="24"/>
          <w:szCs w:val="24"/>
          <w:u w:val="single"/>
          <w:lang w:bidi="ar-LY"/>
        </w:rPr>
      </w:pPr>
    </w:p>
    <w:p w14:paraId="1CFE6A3D" w14:textId="4E4C6F35" w:rsidR="00E84E3E" w:rsidRPr="00E84E3E"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FC6899">
        <w:rPr>
          <w:rFonts w:asciiTheme="majorHAnsi" w:hAnsiTheme="majorHAnsi" w:cstheme="majorHAnsi"/>
          <w:b/>
          <w:bCs/>
          <w:sz w:val="24"/>
          <w:szCs w:val="24"/>
          <w:u w:val="single"/>
          <w:lang w:bidi="ar-LY"/>
        </w:rPr>
        <w:t>21</w:t>
      </w:r>
      <w:r w:rsidRPr="00E84E3E">
        <w:rPr>
          <w:rFonts w:asciiTheme="majorHAnsi" w:hAnsiTheme="majorHAnsi" w:cstheme="majorHAnsi"/>
          <w:b/>
          <w:bCs/>
          <w:sz w:val="24"/>
          <w:szCs w:val="24"/>
          <w:u w:val="single"/>
          <w:lang w:bidi="ar-LY"/>
        </w:rPr>
        <w:t>/</w:t>
      </w:r>
      <w:r w:rsidR="00135D8D">
        <w:rPr>
          <w:rFonts w:asciiTheme="majorHAnsi" w:hAnsiTheme="majorHAnsi" w:cstheme="majorHAnsi"/>
          <w:b/>
          <w:bCs/>
          <w:sz w:val="24"/>
          <w:szCs w:val="24"/>
          <w:u w:val="single"/>
          <w:lang w:bidi="ar-LY"/>
        </w:rPr>
        <w:t>0</w:t>
      </w:r>
      <w:r w:rsidR="00BF2515">
        <w:rPr>
          <w:rFonts w:asciiTheme="majorHAnsi" w:hAnsiTheme="majorHAnsi" w:cstheme="majorHAnsi"/>
          <w:b/>
          <w:bCs/>
          <w:sz w:val="24"/>
          <w:szCs w:val="24"/>
          <w:u w:val="single"/>
          <w:lang w:bidi="ar-LY"/>
        </w:rPr>
        <w:t>1</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135D8D">
        <w:rPr>
          <w:rFonts w:asciiTheme="majorHAnsi" w:hAnsiTheme="majorHAnsi" w:cstheme="majorHAnsi"/>
          <w:b/>
          <w:bCs/>
          <w:sz w:val="24"/>
          <w:szCs w:val="24"/>
          <w:u w:val="single"/>
          <w:lang w:bidi="ar-LY"/>
        </w:rPr>
        <w:t>6</w:t>
      </w:r>
    </w:p>
    <w:p w14:paraId="7E70D767" w14:textId="0B849D79"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FC6899">
        <w:rPr>
          <w:rFonts w:asciiTheme="majorHAnsi" w:hAnsiTheme="majorHAnsi" w:cstheme="majorHAnsi"/>
          <w:b/>
          <w:bCs/>
          <w:sz w:val="24"/>
          <w:szCs w:val="24"/>
          <w:u w:val="single"/>
          <w:lang w:bidi="ar-LY"/>
        </w:rPr>
        <w:t>05</w:t>
      </w:r>
      <w:r w:rsidRPr="00E84E3E">
        <w:rPr>
          <w:rFonts w:asciiTheme="majorHAnsi" w:hAnsiTheme="majorHAnsi" w:cstheme="majorHAnsi"/>
          <w:b/>
          <w:bCs/>
          <w:sz w:val="24"/>
          <w:szCs w:val="24"/>
          <w:u w:val="single"/>
          <w:lang w:bidi="ar-LY"/>
        </w:rPr>
        <w:t>/</w:t>
      </w:r>
      <w:r w:rsidR="00135D8D">
        <w:rPr>
          <w:rFonts w:asciiTheme="majorHAnsi" w:hAnsiTheme="majorHAnsi" w:cstheme="majorHAnsi"/>
          <w:b/>
          <w:bCs/>
          <w:sz w:val="24"/>
          <w:szCs w:val="24"/>
          <w:u w:val="single"/>
          <w:lang w:bidi="ar-LY"/>
        </w:rPr>
        <w:t>0</w:t>
      </w:r>
      <w:r w:rsidR="00FC6899">
        <w:rPr>
          <w:rFonts w:asciiTheme="majorHAnsi" w:hAnsiTheme="majorHAnsi" w:cstheme="majorHAnsi"/>
          <w:b/>
          <w:bCs/>
          <w:sz w:val="24"/>
          <w:szCs w:val="24"/>
          <w:u w:val="single"/>
          <w:lang w:bidi="ar-LY"/>
        </w:rPr>
        <w:t>2</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135D8D">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7A299501" w:rsidR="00D93E0E" w:rsidRPr="00407F09" w:rsidRDefault="00135D8D" w:rsidP="009E7C64">
            <w:pPr>
              <w:spacing w:after="135" w:line="270" w:lineRule="atLeast"/>
              <w:jc w:val="both"/>
              <w:rPr>
                <w:rFonts w:eastAsia="Times New Roman" w:cstheme="minorHAnsi"/>
                <w:b/>
                <w:bCs/>
              </w:rPr>
            </w:pPr>
            <w:r w:rsidRPr="00135D8D">
              <w:rPr>
                <w:rFonts w:ascii="Calibri" w:hAnsi="Calibri" w:cs="Calibri"/>
                <w:b/>
                <w:bCs/>
                <w:snapToGrid w:val="0"/>
                <w:sz w:val="24"/>
                <w:szCs w:val="24"/>
                <w:lang w:eastAsia="de-DE"/>
              </w:rPr>
              <w:t>TC-OPMT-00</w:t>
            </w:r>
            <w:r w:rsidR="006A6D20">
              <w:rPr>
                <w:rFonts w:ascii="Calibri" w:hAnsi="Calibri" w:cs="Calibri"/>
                <w:b/>
                <w:bCs/>
                <w:snapToGrid w:val="0"/>
                <w:sz w:val="24"/>
                <w:szCs w:val="24"/>
                <w:lang w:eastAsia="de-DE"/>
              </w:rPr>
              <w:t>2</w:t>
            </w:r>
            <w:r w:rsidRPr="00135D8D">
              <w:rPr>
                <w:rFonts w:ascii="Calibri" w:hAnsi="Calibri" w:cs="Calibri"/>
                <w:b/>
                <w:bCs/>
                <w:snapToGrid w:val="0"/>
                <w:sz w:val="24"/>
                <w:szCs w:val="24"/>
                <w:lang w:eastAsia="de-DE"/>
              </w:rPr>
              <w:t>-2026</w:t>
            </w:r>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611513F4" w:rsidR="00D93E0E" w:rsidRPr="007A3883" w:rsidRDefault="00135D8D" w:rsidP="009E7C64">
            <w:pPr>
              <w:spacing w:after="135" w:line="270" w:lineRule="atLeast"/>
              <w:jc w:val="both"/>
              <w:rPr>
                <w:rFonts w:eastAsia="Times New Roman" w:cstheme="minorHAnsi"/>
                <w:sz w:val="24"/>
                <w:szCs w:val="24"/>
              </w:rPr>
            </w:pPr>
            <w:r w:rsidRPr="00135D8D">
              <w:rPr>
                <w:rFonts w:ascii="Calibri" w:hAnsi="Calibri" w:cs="Calibri"/>
                <w:b/>
                <w:bCs/>
                <w:snapToGrid w:val="0"/>
                <w:sz w:val="24"/>
                <w:szCs w:val="24"/>
                <w:lang w:eastAsia="de-DE"/>
              </w:rPr>
              <w:t>Internal cleaning and inspection of Export Tank</w:t>
            </w:r>
            <w:r w:rsidR="00FB62CE">
              <w:rPr>
                <w:rFonts w:ascii="Calibri" w:hAnsi="Calibri" w:cs="Calibri"/>
                <w:b/>
                <w:bCs/>
                <w:snapToGrid w:val="0"/>
                <w:sz w:val="24"/>
                <w:szCs w:val="24"/>
                <w:lang w:eastAsia="de-DE"/>
              </w:rPr>
              <w:t>s</w:t>
            </w:r>
            <w:r w:rsidRPr="00135D8D">
              <w:rPr>
                <w:rFonts w:ascii="Calibri" w:hAnsi="Calibri" w:cs="Calibri"/>
                <w:b/>
                <w:bCs/>
                <w:snapToGrid w:val="0"/>
                <w:sz w:val="24"/>
                <w:szCs w:val="24"/>
                <w:lang w:eastAsia="de-DE"/>
              </w:rPr>
              <w:t xml:space="preserve"> T-</w:t>
            </w:r>
            <w:r w:rsidR="006A6D20">
              <w:rPr>
                <w:rFonts w:ascii="Calibri" w:hAnsi="Calibri" w:cs="Calibri"/>
                <w:b/>
                <w:bCs/>
                <w:snapToGrid w:val="0"/>
                <w:sz w:val="24"/>
                <w:szCs w:val="24"/>
                <w:lang w:eastAsia="de-DE"/>
              </w:rPr>
              <w:t>450 / 470</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4A2A0F3D" w:rsidR="005145C7" w:rsidRPr="00086FE1" w:rsidRDefault="00135D8D" w:rsidP="00C147FF">
      <w:pPr>
        <w:pStyle w:val="StyleRightAfter-088"/>
        <w:spacing w:line="276" w:lineRule="auto"/>
        <w:ind w:right="0"/>
        <w:jc w:val="both"/>
        <w:rPr>
          <w:rFonts w:eastAsiaTheme="minorEastAsia" w:cstheme="minorHAnsi"/>
          <w:b/>
          <w:bCs/>
        </w:rPr>
      </w:pPr>
      <w:r w:rsidRPr="00135D8D">
        <w:rPr>
          <w:rFonts w:eastAsiaTheme="minorEastAsia" w:cstheme="minorHAnsi"/>
          <w:b/>
          <w:bCs/>
        </w:rPr>
        <w:t>TC-OPMT-00</w:t>
      </w:r>
      <w:r w:rsidR="006A6D20">
        <w:rPr>
          <w:rFonts w:eastAsiaTheme="minorEastAsia" w:cstheme="minorHAnsi"/>
          <w:b/>
          <w:bCs/>
        </w:rPr>
        <w:t>2</w:t>
      </w:r>
      <w:r w:rsidRPr="00135D8D">
        <w:rPr>
          <w:rFonts w:eastAsiaTheme="minorEastAsia" w:cstheme="minorHAnsi"/>
          <w:b/>
          <w:bCs/>
        </w:rPr>
        <w:t>-2026</w:t>
      </w:r>
      <w:r w:rsidR="009044CF" w:rsidRPr="009044CF">
        <w:rPr>
          <w:rFonts w:eastAsiaTheme="minorEastAsia" w:cstheme="minorHAnsi"/>
          <w:b/>
          <w:bCs/>
        </w:rPr>
        <w:t xml:space="preserve"> </w:t>
      </w:r>
      <w:r w:rsidR="009044CF">
        <w:rPr>
          <w:rFonts w:eastAsiaTheme="minorEastAsia" w:cstheme="minorHAnsi"/>
          <w:b/>
          <w:bCs/>
        </w:rPr>
        <w:t xml:space="preserve">/ </w:t>
      </w:r>
      <w:r w:rsidRPr="00135D8D">
        <w:rPr>
          <w:rFonts w:eastAsiaTheme="minorEastAsia" w:cstheme="minorHAnsi"/>
          <w:b/>
          <w:bCs/>
        </w:rPr>
        <w:t>Internal cleaning and inspection of Export Tank</w:t>
      </w:r>
      <w:r w:rsidR="009603D9">
        <w:rPr>
          <w:rFonts w:eastAsiaTheme="minorEastAsia" w:cstheme="minorHAnsi"/>
          <w:b/>
          <w:bCs/>
        </w:rPr>
        <w:t>s</w:t>
      </w:r>
      <w:r w:rsidRPr="00135D8D">
        <w:rPr>
          <w:rFonts w:eastAsiaTheme="minorEastAsia" w:cstheme="minorHAnsi"/>
          <w:b/>
          <w:bCs/>
        </w:rPr>
        <w:t xml:space="preserve"> </w:t>
      </w:r>
      <w:r w:rsidR="006A6D20" w:rsidRPr="00135D8D">
        <w:rPr>
          <w:rFonts w:ascii="Calibri" w:hAnsi="Calibri" w:cs="Calibri"/>
          <w:b/>
          <w:bCs/>
          <w:snapToGrid w:val="0"/>
          <w:lang w:eastAsia="de-DE"/>
        </w:rPr>
        <w:t>T-</w:t>
      </w:r>
      <w:r w:rsidR="006A6D20">
        <w:rPr>
          <w:rFonts w:ascii="Calibri" w:hAnsi="Calibri" w:cs="Calibri"/>
          <w:b/>
          <w:bCs/>
          <w:snapToGrid w:val="0"/>
          <w:lang w:eastAsia="de-DE"/>
        </w:rPr>
        <w:t>450 / 470</w:t>
      </w:r>
    </w:p>
    <w:p w14:paraId="3C9049E6" w14:textId="77777777" w:rsidR="00820899" w:rsidRPr="00086FE1" w:rsidRDefault="00820899" w:rsidP="00820899">
      <w:pPr>
        <w:pStyle w:val="StyleRightAfter-088"/>
        <w:bidi/>
        <w:spacing w:line="276" w:lineRule="auto"/>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1" w:name="_Hlk213330491"/>
      <w:r w:rsidRPr="0030590D">
        <w:rPr>
          <w:rFonts w:eastAsiaTheme="minorEastAsia" w:cstheme="minorHAnsi"/>
          <w:b/>
          <w:bCs/>
          <w:u w:val="single"/>
        </w:rPr>
        <w:t>Brief Scope of Work:</w:t>
      </w:r>
    </w:p>
    <w:p w14:paraId="6DFC76F2" w14:textId="77777777" w:rsidR="0030590D" w:rsidRPr="0030590D" w:rsidRDefault="0030590D" w:rsidP="0030590D">
      <w:pPr>
        <w:pStyle w:val="StyleRightAfter-088"/>
        <w:spacing w:line="276" w:lineRule="auto"/>
        <w:jc w:val="both"/>
        <w:rPr>
          <w:rFonts w:asciiTheme="majorHAnsi" w:hAnsiTheme="majorHAnsi" w:cstheme="majorHAnsi"/>
          <w:b/>
          <w:bCs/>
          <w:u w:val="single"/>
          <w:lang w:bidi="ar-LY"/>
        </w:rPr>
      </w:pPr>
    </w:p>
    <w:bookmarkEnd w:id="1"/>
    <w:p w14:paraId="7BB9B8FA" w14:textId="6BFAAEE3" w:rsidR="0030590D" w:rsidRPr="009044CF" w:rsidRDefault="00135D8D" w:rsidP="009044CF">
      <w:pPr>
        <w:pStyle w:val="StyleRightAfter-088"/>
        <w:spacing w:line="276" w:lineRule="auto"/>
        <w:ind w:right="0"/>
        <w:jc w:val="both"/>
        <w:rPr>
          <w:rFonts w:asciiTheme="majorHAnsi" w:hAnsiTheme="majorHAnsi" w:cstheme="majorHAnsi"/>
          <w:lang w:bidi="ar-LY"/>
        </w:rPr>
      </w:pPr>
      <w:r w:rsidRPr="00135D8D">
        <w:rPr>
          <w:rFonts w:asciiTheme="majorHAnsi" w:hAnsiTheme="majorHAnsi" w:cstheme="majorHAnsi"/>
          <w:lang w:bidi="ar-LY"/>
        </w:rPr>
        <w:t xml:space="preserve">Carry out the internal cleaning of the </w:t>
      </w:r>
      <w:r w:rsidR="006A6D20">
        <w:rPr>
          <w:rFonts w:asciiTheme="majorHAnsi" w:hAnsiTheme="majorHAnsi" w:cstheme="majorHAnsi"/>
          <w:lang w:bidi="ar-LY"/>
        </w:rPr>
        <w:t>Jakhira</w:t>
      </w:r>
      <w:r w:rsidRPr="00135D8D">
        <w:rPr>
          <w:rFonts w:asciiTheme="majorHAnsi" w:hAnsiTheme="majorHAnsi" w:cstheme="majorHAnsi"/>
          <w:lang w:bidi="ar-LY"/>
        </w:rPr>
        <w:t xml:space="preserve"> Export tank</w:t>
      </w:r>
      <w:r w:rsidR="006A6D20">
        <w:rPr>
          <w:rFonts w:asciiTheme="majorHAnsi" w:hAnsiTheme="majorHAnsi" w:cstheme="majorHAnsi"/>
          <w:lang w:bidi="ar-LY"/>
        </w:rPr>
        <w:t>s</w:t>
      </w:r>
      <w:r w:rsidRPr="00135D8D">
        <w:rPr>
          <w:rFonts w:asciiTheme="majorHAnsi" w:hAnsiTheme="majorHAnsi" w:cstheme="majorHAnsi"/>
          <w:lang w:bidi="ar-LY"/>
        </w:rPr>
        <w:t xml:space="preserve"> T-</w:t>
      </w:r>
      <w:r w:rsidR="006A6D20">
        <w:rPr>
          <w:rFonts w:asciiTheme="majorHAnsi" w:hAnsiTheme="majorHAnsi" w:cstheme="majorHAnsi"/>
          <w:lang w:bidi="ar-LY"/>
        </w:rPr>
        <w:t>450 &amp; T-470</w:t>
      </w:r>
      <w:r w:rsidRPr="00135D8D">
        <w:rPr>
          <w:rFonts w:asciiTheme="majorHAnsi" w:hAnsiTheme="majorHAnsi" w:cstheme="majorHAnsi"/>
          <w:lang w:bidi="ar-LY"/>
        </w:rPr>
        <w:t xml:space="preserve"> for (internal, inspection and painting). The task includes blinding, spading, dismantling, and reinstallation, of all external and internal equipment. Cleaning, sludge transportation, internal inspection, internal coating, and external coating repair as well as all work required to bring the tank</w:t>
      </w:r>
      <w:r w:rsidR="006A6D20">
        <w:rPr>
          <w:rFonts w:asciiTheme="majorHAnsi" w:hAnsiTheme="majorHAnsi" w:cstheme="majorHAnsi"/>
          <w:lang w:bidi="ar-LY"/>
        </w:rPr>
        <w:t>s</w:t>
      </w:r>
      <w:r w:rsidRPr="00135D8D">
        <w:rPr>
          <w:rFonts w:asciiTheme="majorHAnsi" w:hAnsiTheme="majorHAnsi" w:cstheme="majorHAnsi"/>
          <w:lang w:bidi="ar-LY"/>
        </w:rPr>
        <w:t xml:space="preserve"> to operation again.</w:t>
      </w:r>
    </w:p>
    <w:p w14:paraId="08DB391C" w14:textId="77777777" w:rsidR="009044CF" w:rsidRPr="0030590D" w:rsidRDefault="009044CF" w:rsidP="009044CF">
      <w:pPr>
        <w:pStyle w:val="StyleRightAfter-088"/>
        <w:spacing w:line="276" w:lineRule="auto"/>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8EFFEF7"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pre-qualification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Pre-qualification</w:t>
      </w:r>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lastRenderedPageBreak/>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A written undertaking from your company confirming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9B57D6F"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 xml:space="preserve">If the above-mentioned legal documents are not ready before the end date of this announcement (which will negatively affect your participation in this tender), you must send an official letter 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Company explaining the deficiencies in detail, the reason for not submitting them, and the commitment to submitting all these legal documents in full and correctness in the next phase of this tender (in case you pass the pre-qualification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lastRenderedPageBreak/>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1B7FBE57"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2022, 202</w:t>
      </w:r>
      <w:r w:rsidR="00C7313B">
        <w:rPr>
          <w:rFonts w:asciiTheme="majorHAnsi" w:hAnsiTheme="majorHAnsi" w:cstheme="majorHAnsi"/>
          <w:lang w:bidi="ar-LY"/>
        </w:rPr>
        <w:t>3</w:t>
      </w:r>
      <w:r w:rsidRPr="00E54417">
        <w:rPr>
          <w:rFonts w:asciiTheme="majorHAnsi" w:hAnsiTheme="majorHAnsi" w:cstheme="majorHAnsi"/>
          <w:lang w:bidi="ar-LY"/>
        </w:rPr>
        <w:t xml:space="preserve"> and 202</w:t>
      </w:r>
      <w:r w:rsidR="00C7313B">
        <w:rPr>
          <w:rFonts w:asciiTheme="majorHAnsi" w:hAnsiTheme="majorHAnsi" w:cstheme="majorHAnsi"/>
          <w:lang w:bidi="ar-LY"/>
        </w:rPr>
        <w:t>4</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Safety manual,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1259FB8E"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 government laws, and industry and technological recommendations applicable.</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1D90C20E"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To ensure your opportunity for pre-qualification for this tender, all required electronic documents and files must be submitted without any omissions (in the form of four compressed electronic folders named "Legal File", "Financial File", "HSEQ File", and "Technical File" as stated above).</w:t>
      </w:r>
    </w:p>
    <w:p w14:paraId="265B1501" w14:textId="73D54E84"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In case of incomplete or non-compliant submission according to the specifications detailed in this announcement, this automatically means the loss of your opportunity for pre-qualification for this tender.</w:t>
      </w:r>
    </w:p>
    <w:p w14:paraId="429583C5" w14:textId="1419F513"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t>How to respond to this advertisement:</w:t>
      </w:r>
    </w:p>
    <w:p w14:paraId="02ADC851" w14:textId="77777777"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This pre-qualification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lastRenderedPageBreak/>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2373793C"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will only deal with individuals officially authorized by the companies applying for pre-qualification.</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3BFB32CB"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All expenses incurred regarding this invitation, regardless of their nature, for the purpose of preparing and submitting pre-qualification documents, including visits if any, must be borne by the companies intending to participate in this competition.</w:t>
      </w:r>
    </w:p>
    <w:p w14:paraId="0B95D9C9" w14:textId="77777777" w:rsidR="00551DF1" w:rsidRDefault="00551DF1" w:rsidP="00A705F0">
      <w:pPr>
        <w:pStyle w:val="StyleRightAfter-088"/>
        <w:spacing w:line="276" w:lineRule="auto"/>
        <w:ind w:right="0"/>
        <w:jc w:val="both"/>
        <w:rPr>
          <w:rFonts w:asciiTheme="majorHAnsi" w:hAnsiTheme="majorHAnsi" w:cstheme="majorHAnsi"/>
          <w:b/>
          <w:bCs/>
          <w:u w:val="single"/>
          <w:lang w:bidi="ar-LY"/>
        </w:rPr>
      </w:pPr>
    </w:p>
    <w:p w14:paraId="518117AE" w14:textId="2F3B28B8" w:rsidR="00A705F0" w:rsidRPr="00A705F0" w:rsidRDefault="00A705F0" w:rsidP="00A705F0">
      <w:pPr>
        <w:pStyle w:val="StyleRightAfter-088"/>
        <w:spacing w:line="276" w:lineRule="auto"/>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2"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2"/>
      <w:r w:rsidRPr="00A705F0">
        <w:rPr>
          <w:rFonts w:asciiTheme="majorHAnsi" w:hAnsiTheme="majorHAnsi" w:cstheme="majorHAnsi"/>
          <w:lang w:bidi="ar-LY"/>
        </w:rPr>
        <w:t xml:space="preserve">) </w:t>
      </w:r>
    </w:p>
    <w:p w14:paraId="1199A1B3" w14:textId="650AB01C"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027EA7F0" w14:textId="77777777" w:rsidR="0073130B" w:rsidRDefault="0073130B" w:rsidP="00E415BF">
      <w:pPr>
        <w:pStyle w:val="StyleRightAfter-088"/>
        <w:spacing w:line="276" w:lineRule="auto"/>
        <w:ind w:left="1080" w:right="0"/>
        <w:jc w:val="both"/>
        <w:rPr>
          <w:rFonts w:asciiTheme="majorHAnsi" w:hAnsiTheme="majorHAnsi" w:cstheme="majorHAnsi"/>
          <w:lang w:bidi="ar-LY"/>
        </w:rPr>
      </w:pPr>
    </w:p>
    <w:p w14:paraId="5C222216" w14:textId="06C12316" w:rsidR="009D0FAA" w:rsidRPr="0073130B" w:rsidRDefault="0073130B" w:rsidP="0073130B">
      <w:pPr>
        <w:ind w:left="26"/>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Submission of tender documents is only accepted via email. Any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9"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0"/>
  </w:num>
  <w:num w:numId="2" w16cid:durableId="1782383046">
    <w:abstractNumId w:val="9"/>
  </w:num>
  <w:num w:numId="3" w16cid:durableId="1585801813">
    <w:abstractNumId w:val="21"/>
  </w:num>
  <w:num w:numId="4" w16cid:durableId="822745794">
    <w:abstractNumId w:val="6"/>
  </w:num>
  <w:num w:numId="5" w16cid:durableId="1244609682">
    <w:abstractNumId w:val="4"/>
  </w:num>
  <w:num w:numId="6" w16cid:durableId="314190692">
    <w:abstractNumId w:val="16"/>
  </w:num>
  <w:num w:numId="7" w16cid:durableId="1228493985">
    <w:abstractNumId w:val="17"/>
  </w:num>
  <w:num w:numId="8" w16cid:durableId="1220022217">
    <w:abstractNumId w:val="8"/>
  </w:num>
  <w:num w:numId="9" w16cid:durableId="850490121">
    <w:abstractNumId w:val="19"/>
  </w:num>
  <w:num w:numId="10" w16cid:durableId="1289553708">
    <w:abstractNumId w:val="23"/>
  </w:num>
  <w:num w:numId="11" w16cid:durableId="874078622">
    <w:abstractNumId w:val="14"/>
  </w:num>
  <w:num w:numId="12" w16cid:durableId="384257210">
    <w:abstractNumId w:val="0"/>
  </w:num>
  <w:num w:numId="13" w16cid:durableId="376011033">
    <w:abstractNumId w:val="18"/>
  </w:num>
  <w:num w:numId="14" w16cid:durableId="1387072569">
    <w:abstractNumId w:val="3"/>
  </w:num>
  <w:num w:numId="15" w16cid:durableId="1273827930">
    <w:abstractNumId w:val="10"/>
  </w:num>
  <w:num w:numId="16" w16cid:durableId="68618145">
    <w:abstractNumId w:val="12"/>
  </w:num>
  <w:num w:numId="17" w16cid:durableId="520897071">
    <w:abstractNumId w:val="7"/>
  </w:num>
  <w:num w:numId="18" w16cid:durableId="2116632361">
    <w:abstractNumId w:val="5"/>
  </w:num>
  <w:num w:numId="19" w16cid:durableId="1663196229">
    <w:abstractNumId w:val="2"/>
  </w:num>
  <w:num w:numId="20" w16cid:durableId="1345982367">
    <w:abstractNumId w:val="11"/>
  </w:num>
  <w:num w:numId="21" w16cid:durableId="933322673">
    <w:abstractNumId w:val="22"/>
  </w:num>
  <w:num w:numId="22" w16cid:durableId="2010911226">
    <w:abstractNumId w:val="1"/>
  </w:num>
  <w:num w:numId="23" w16cid:durableId="1998611405">
    <w:abstractNumId w:val="13"/>
  </w:num>
  <w:num w:numId="24" w16cid:durableId="501042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5A7"/>
    <w:rsid w:val="00022769"/>
    <w:rsid w:val="0002456D"/>
    <w:rsid w:val="00040829"/>
    <w:rsid w:val="00056651"/>
    <w:rsid w:val="00066D28"/>
    <w:rsid w:val="000671D6"/>
    <w:rsid w:val="000810B5"/>
    <w:rsid w:val="00083F52"/>
    <w:rsid w:val="0008530F"/>
    <w:rsid w:val="00086FE1"/>
    <w:rsid w:val="00090817"/>
    <w:rsid w:val="000C4CA7"/>
    <w:rsid w:val="000D2A40"/>
    <w:rsid w:val="00100BD0"/>
    <w:rsid w:val="0010475C"/>
    <w:rsid w:val="00117B6B"/>
    <w:rsid w:val="00135D8D"/>
    <w:rsid w:val="001418CA"/>
    <w:rsid w:val="001431E6"/>
    <w:rsid w:val="0015142A"/>
    <w:rsid w:val="00161C4C"/>
    <w:rsid w:val="00181AB3"/>
    <w:rsid w:val="00191663"/>
    <w:rsid w:val="001A2719"/>
    <w:rsid w:val="001B0CA0"/>
    <w:rsid w:val="001D2B69"/>
    <w:rsid w:val="001E102E"/>
    <w:rsid w:val="001F1A10"/>
    <w:rsid w:val="002040E5"/>
    <w:rsid w:val="002127D5"/>
    <w:rsid w:val="0021351D"/>
    <w:rsid w:val="0021748E"/>
    <w:rsid w:val="002225CB"/>
    <w:rsid w:val="0023521A"/>
    <w:rsid w:val="00250F07"/>
    <w:rsid w:val="00262C6D"/>
    <w:rsid w:val="00276701"/>
    <w:rsid w:val="002835D9"/>
    <w:rsid w:val="00297065"/>
    <w:rsid w:val="002A5AFD"/>
    <w:rsid w:val="002B012D"/>
    <w:rsid w:val="002B7C67"/>
    <w:rsid w:val="002C0987"/>
    <w:rsid w:val="002D0670"/>
    <w:rsid w:val="002D5469"/>
    <w:rsid w:val="002D5EE4"/>
    <w:rsid w:val="00300FAD"/>
    <w:rsid w:val="0030590D"/>
    <w:rsid w:val="00330244"/>
    <w:rsid w:val="0034476A"/>
    <w:rsid w:val="003466EB"/>
    <w:rsid w:val="00383FB8"/>
    <w:rsid w:val="00387CC8"/>
    <w:rsid w:val="003965D4"/>
    <w:rsid w:val="00397092"/>
    <w:rsid w:val="003B1050"/>
    <w:rsid w:val="003B7019"/>
    <w:rsid w:val="003C753B"/>
    <w:rsid w:val="003F4ECF"/>
    <w:rsid w:val="003F59D8"/>
    <w:rsid w:val="00407F09"/>
    <w:rsid w:val="00423271"/>
    <w:rsid w:val="004377F8"/>
    <w:rsid w:val="00445664"/>
    <w:rsid w:val="00457B55"/>
    <w:rsid w:val="004829E5"/>
    <w:rsid w:val="004A60E2"/>
    <w:rsid w:val="004C3236"/>
    <w:rsid w:val="004F2F00"/>
    <w:rsid w:val="0050252D"/>
    <w:rsid w:val="00507DCB"/>
    <w:rsid w:val="005137D8"/>
    <w:rsid w:val="005145C7"/>
    <w:rsid w:val="005352BF"/>
    <w:rsid w:val="005502AD"/>
    <w:rsid w:val="00551DF1"/>
    <w:rsid w:val="00555E6A"/>
    <w:rsid w:val="00565646"/>
    <w:rsid w:val="005663FD"/>
    <w:rsid w:val="00586108"/>
    <w:rsid w:val="0059413D"/>
    <w:rsid w:val="005941CA"/>
    <w:rsid w:val="005A132A"/>
    <w:rsid w:val="005B5C5C"/>
    <w:rsid w:val="005C12CA"/>
    <w:rsid w:val="005D00C8"/>
    <w:rsid w:val="006061A9"/>
    <w:rsid w:val="00624ED2"/>
    <w:rsid w:val="0063085F"/>
    <w:rsid w:val="006371E4"/>
    <w:rsid w:val="00650D6E"/>
    <w:rsid w:val="00661566"/>
    <w:rsid w:val="00664887"/>
    <w:rsid w:val="00667FA2"/>
    <w:rsid w:val="00682338"/>
    <w:rsid w:val="00693DF4"/>
    <w:rsid w:val="006A5CA1"/>
    <w:rsid w:val="006A6D20"/>
    <w:rsid w:val="006C1290"/>
    <w:rsid w:val="006C263E"/>
    <w:rsid w:val="006D26CB"/>
    <w:rsid w:val="006E5613"/>
    <w:rsid w:val="006F6C8B"/>
    <w:rsid w:val="00715EA1"/>
    <w:rsid w:val="0073130B"/>
    <w:rsid w:val="0073364C"/>
    <w:rsid w:val="007475E7"/>
    <w:rsid w:val="00755D09"/>
    <w:rsid w:val="007608FC"/>
    <w:rsid w:val="00763FAD"/>
    <w:rsid w:val="0076469E"/>
    <w:rsid w:val="00767F5F"/>
    <w:rsid w:val="00787EB4"/>
    <w:rsid w:val="007951E5"/>
    <w:rsid w:val="007A29C8"/>
    <w:rsid w:val="007C7358"/>
    <w:rsid w:val="007D1B20"/>
    <w:rsid w:val="00810A2F"/>
    <w:rsid w:val="0081741C"/>
    <w:rsid w:val="00820899"/>
    <w:rsid w:val="00830550"/>
    <w:rsid w:val="008457E3"/>
    <w:rsid w:val="008723B7"/>
    <w:rsid w:val="00880F6B"/>
    <w:rsid w:val="00892800"/>
    <w:rsid w:val="008A1286"/>
    <w:rsid w:val="008A227A"/>
    <w:rsid w:val="008A37E7"/>
    <w:rsid w:val="008B5E82"/>
    <w:rsid w:val="008B6329"/>
    <w:rsid w:val="008C12BA"/>
    <w:rsid w:val="008C4AAB"/>
    <w:rsid w:val="008C7F2C"/>
    <w:rsid w:val="008E5BA7"/>
    <w:rsid w:val="009044CF"/>
    <w:rsid w:val="009273F5"/>
    <w:rsid w:val="00940C89"/>
    <w:rsid w:val="009445A3"/>
    <w:rsid w:val="0095140C"/>
    <w:rsid w:val="0095146E"/>
    <w:rsid w:val="009603D9"/>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A2D77"/>
    <w:rsid w:val="00AB3429"/>
    <w:rsid w:val="00AC2D86"/>
    <w:rsid w:val="00AC55C4"/>
    <w:rsid w:val="00AD3A24"/>
    <w:rsid w:val="00AD7D2F"/>
    <w:rsid w:val="00B02669"/>
    <w:rsid w:val="00B37B31"/>
    <w:rsid w:val="00B420DF"/>
    <w:rsid w:val="00B522B1"/>
    <w:rsid w:val="00B60088"/>
    <w:rsid w:val="00B62C66"/>
    <w:rsid w:val="00B64E4F"/>
    <w:rsid w:val="00B759B5"/>
    <w:rsid w:val="00BD6360"/>
    <w:rsid w:val="00BE1148"/>
    <w:rsid w:val="00BF1293"/>
    <w:rsid w:val="00BF2515"/>
    <w:rsid w:val="00BF48C7"/>
    <w:rsid w:val="00BF7311"/>
    <w:rsid w:val="00C147FF"/>
    <w:rsid w:val="00C20BE1"/>
    <w:rsid w:val="00C23D3B"/>
    <w:rsid w:val="00C304A1"/>
    <w:rsid w:val="00C33192"/>
    <w:rsid w:val="00C4304A"/>
    <w:rsid w:val="00C67D5A"/>
    <w:rsid w:val="00C7313B"/>
    <w:rsid w:val="00C73714"/>
    <w:rsid w:val="00C97F26"/>
    <w:rsid w:val="00CA1504"/>
    <w:rsid w:val="00CA4B21"/>
    <w:rsid w:val="00CA5694"/>
    <w:rsid w:val="00CB5CB0"/>
    <w:rsid w:val="00CC5332"/>
    <w:rsid w:val="00CD3C6F"/>
    <w:rsid w:val="00CD6BF0"/>
    <w:rsid w:val="00D24E90"/>
    <w:rsid w:val="00D340ED"/>
    <w:rsid w:val="00D41030"/>
    <w:rsid w:val="00D445DD"/>
    <w:rsid w:val="00D80D55"/>
    <w:rsid w:val="00D84F06"/>
    <w:rsid w:val="00D85209"/>
    <w:rsid w:val="00D855EC"/>
    <w:rsid w:val="00D93E0E"/>
    <w:rsid w:val="00D96AB0"/>
    <w:rsid w:val="00DA2D7D"/>
    <w:rsid w:val="00DA7866"/>
    <w:rsid w:val="00DC0D51"/>
    <w:rsid w:val="00DD19CA"/>
    <w:rsid w:val="00DE2693"/>
    <w:rsid w:val="00DF1406"/>
    <w:rsid w:val="00DF7644"/>
    <w:rsid w:val="00E11338"/>
    <w:rsid w:val="00E16EFA"/>
    <w:rsid w:val="00E27AB0"/>
    <w:rsid w:val="00E415BF"/>
    <w:rsid w:val="00E42078"/>
    <w:rsid w:val="00E4450E"/>
    <w:rsid w:val="00E54417"/>
    <w:rsid w:val="00E835F4"/>
    <w:rsid w:val="00E84E3E"/>
    <w:rsid w:val="00E9701E"/>
    <w:rsid w:val="00EB538B"/>
    <w:rsid w:val="00EC058B"/>
    <w:rsid w:val="00EC2E5C"/>
    <w:rsid w:val="00ED0E85"/>
    <w:rsid w:val="00ED7533"/>
    <w:rsid w:val="00F0533D"/>
    <w:rsid w:val="00F13809"/>
    <w:rsid w:val="00F24B7C"/>
    <w:rsid w:val="00F63DA8"/>
    <w:rsid w:val="00F703B9"/>
    <w:rsid w:val="00F87A49"/>
    <w:rsid w:val="00F924EE"/>
    <w:rsid w:val="00F94FFD"/>
    <w:rsid w:val="00FB3074"/>
    <w:rsid w:val="00FB62CE"/>
    <w:rsid w:val="00FC46A6"/>
    <w:rsid w:val="00FC6899"/>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21</cp:revision>
  <cp:lastPrinted>2023-08-10T07:13:00Z</cp:lastPrinted>
  <dcterms:created xsi:type="dcterms:W3CDTF">2025-11-06T11:41:00Z</dcterms:created>
  <dcterms:modified xsi:type="dcterms:W3CDTF">2026-01-21T11:56:00Z</dcterms:modified>
</cp:coreProperties>
</file>